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ӘЛ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ФАРАБИ АТЫНДАҒЫ ҚАЗАҚ ҰЛТТЫҚ УНИВЕРСИТЕТІ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ЖОҒАРЫ ОҚУ ОРНЫНА ДЕЙІНГІ БІЛІМ БЕРУ ФАКУЛЬТЕТІ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КОЛЛЕДЖ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38"/>
        <w:gridCol w:w="161"/>
      </w:tblGrid>
      <w:tr>
        <w:tblPrEx>
          <w:shd w:val="clear" w:color="auto" w:fill="ced7e7"/>
        </w:tblPrEx>
        <w:trPr>
          <w:trHeight w:val="1613" w:hRule="atLeast"/>
        </w:trPr>
        <w:tc>
          <w:tcPr>
            <w:tcW w:type="dxa" w:w="100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spacing w:before="0" w:after="0"/>
              <w:jc w:val="right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БЕКІТЕМІН</w:t>
              <w:br w:type="textWrapping"/>
              <w:t xml:space="preserve">Директордың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ОӘЖ орынбасары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</w:p>
          <w:p>
            <w:pPr>
              <w:pStyle w:val="heading 1"/>
              <w:spacing w:before="0" w:after="0"/>
              <w:jc w:val="right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__________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Аппакова М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"___" ___________20___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Normal.0"/>
        <w:spacing w:after="0" w:line="240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КҮНТІЗБЕЛІК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ТАҚЫРЫПТЫҚ ЖОСПАР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оқу жылы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Семестр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Модуль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пәннің атауы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>азалық шет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 тілі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Мамандық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: </w:t>
      </w:r>
      <w:bookmarkStart w:name="z24" w:id="0"/>
      <w:r>
        <w:rPr>
          <w:rFonts w:ascii="Times New Roman" w:hAnsi="Times New Roman"/>
          <w:sz w:val="28"/>
          <w:szCs w:val="28"/>
          <w:rtl w:val="0"/>
        </w:rPr>
        <w:t xml:space="preserve">02310100 - </w:t>
      </w:r>
      <w:r>
        <w:rPr>
          <w:rFonts w:ascii="Times New Roman" w:hAnsi="Times New Roman" w:hint="default"/>
          <w:sz w:val="28"/>
          <w:szCs w:val="28"/>
          <w:rtl w:val="0"/>
        </w:rPr>
        <w:t>«Аударма ісі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»</w:t>
      </w:r>
      <w:r>
        <w:rPr>
          <w:rFonts w:ascii="Times New Roman" w:hAnsi="Times New Roman"/>
          <w:sz w:val="28"/>
          <w:szCs w:val="28"/>
          <w:rtl w:val="0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</w:rPr>
        <w:t>түрлері бойынша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bookmarkEnd w:id="0"/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ff0000"/>
          <w:sz w:val="28"/>
          <w:szCs w:val="28"/>
          <w:u w:val="single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Біліктілік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b w:val="1"/>
          <w:bCs w:val="1"/>
          <w:outline w:val="0"/>
          <w:color w:val="ff0000"/>
          <w:sz w:val="28"/>
          <w:szCs w:val="28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4S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02310101 - </w:t>
      </w:r>
      <w:r>
        <w:rPr>
          <w:rFonts w:ascii="Times New Roman" w:hAnsi="Times New Roman" w:hint="default"/>
          <w:sz w:val="28"/>
          <w:szCs w:val="28"/>
          <w:rtl w:val="0"/>
        </w:rPr>
        <w:t>Аудармашы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Курс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Топ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</w:rPr>
        <w:t>ДК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- 105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Сағат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кредит саны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Көктемгі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en-US"/>
        </w:rPr>
        <w:t>48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сағат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Оқытушы 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Рахметолла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                     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Оқу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әдістемелік комиссияның отырысында қаралды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ж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"31"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тамыз  №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хаттама </w:t>
      </w:r>
    </w:p>
    <w:p>
      <w:pPr>
        <w:pStyle w:val="Normal.0"/>
        <w:spacing w:after="0"/>
        <w:sectPr>
          <w:headerReference w:type="default" r:id="rId4"/>
          <w:footerReference w:type="default" r:id="rId5"/>
          <w:pgSz w:w="11900" w:h="16840" w:orient="portrait"/>
          <w:pgMar w:top="1134" w:right="425" w:bottom="1134" w:left="1276" w:header="708" w:footer="708"/>
          <w:bidi w:val="0"/>
        </w:sect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Төраға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________________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Рысбекова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66"/>
        <w:gridCol w:w="1101"/>
        <w:gridCol w:w="4235"/>
        <w:gridCol w:w="593"/>
        <w:gridCol w:w="917"/>
        <w:gridCol w:w="1193"/>
        <w:gridCol w:w="517"/>
      </w:tblGrid>
      <w:tr>
        <w:tblPrEx>
          <w:shd w:val="clear" w:color="auto" w:fill="cdd4e9"/>
        </w:tblPrEx>
        <w:trPr>
          <w:trHeight w:val="2181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№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" w:line="240" w:lineRule="auto"/>
              <w:ind w:left="20" w:firstLine="0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Тақы</w:t>
            </w:r>
          </w:p>
          <w:p>
            <w:pPr>
              <w:pStyle w:val="Normal.0"/>
              <w:bidi w:val="0"/>
              <w:spacing w:after="20" w:line="240" w:lineRule="auto"/>
              <w:ind w:left="2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рыпты оқыту</w:t>
            </w:r>
          </w:p>
          <w:p>
            <w:pPr>
              <w:pStyle w:val="Normal.0"/>
              <w:bidi w:val="0"/>
              <w:spacing w:after="20" w:line="240" w:lineRule="auto"/>
              <w:ind w:left="2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дың күнтізбелік мерзі</w:t>
            </w:r>
          </w:p>
          <w:p>
            <w:pPr>
              <w:pStyle w:val="Normal.0"/>
              <w:bidi w:val="0"/>
              <w:spacing w:after="20" w:line="240" w:lineRule="auto"/>
              <w:ind w:left="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мі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Бөлім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тақырып атауы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Сағаттар саны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Сабақ типі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Үй тапсырмасы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 w:line="240" w:lineRule="auto"/>
              <w:ind w:left="2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Ескерту</w:t>
            </w:r>
          </w:p>
          <w:p>
            <w:pPr>
              <w:pStyle w:val="Normal.0"/>
              <w:bidi w:val="0"/>
              <w:spacing w:after="20" w:line="240" w:lineRule="auto"/>
              <w:ind w:left="2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Қойылатын балл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семестр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ші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Present tenses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1.1. Present Simple. Lifestyle adjectives; jobs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1.2. Present Continuous. TV programmes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1.3. Present Perfect Simple.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good friends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and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false friends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’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1.4.</w:t>
            </w: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бақылау жұмысы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ші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Past tenses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02.02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2.1. Past Simple. Past Continuous. Regular and Irregular Verbs. Adjectives (personality; mood; opinions)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2.2. Present Perfect Simple and Past Simple. Multi-part verbs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2.3.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Бақылау жұмысы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ші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Modals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8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16.02/23.02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3.1. have to/not have to; Celebrations; Words that go together (verbs and nouns)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ашық сабақ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9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23.02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3.2. can/can</w:t>
            </w: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>t, should/shouldn</w:t>
            </w: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. 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ші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The Passive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10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01.03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4.1. Passive Indefinite: Present, Past, Future.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08.03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4.2. Passive Continuous: Present, Past.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15.03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4.3.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бақылау жұмысы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ші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Quantifiers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15.03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5.1. some/any/no; Verbs to do with money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22.03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5.2. a lot of/many/ much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22.03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5.3. </w:t>
            </w:r>
          </w:p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Бақылау жұмысы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29.03</w:t>
            </w:r>
          </w:p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Аралық бақылау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rtl w:val="0"/>
                <w:lang w:val="ru-RU"/>
              </w:rPr>
              <w:t xml:space="preserve"> №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Барлығы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шы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Determiners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12.04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6.1. all/none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18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12.04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6.2. both/neither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19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19.04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6.3. another, other, the other, the second; adjectives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vs.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20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26.04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6.4.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бақылау жұмысы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ші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Conditionals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26.04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7.1. First Conditional; Science, science fiction, the environment, Internet words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03.05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7.2. Second Conditional; Words that go together (</w:t>
            </w: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>do</w:t>
            </w: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  <w:lang w:val="en-US"/>
              </w:rPr>
              <w:t xml:space="preserve">’ 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and </w:t>
            </w: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>make</w:t>
            </w: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03.05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7.3.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бақылау жұмысы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Comparison of adjectives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10.05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8.1. Comparatives and Superlatives; Leisure activities, adjectives; word building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10.05/17.05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8.2. The qualification of comparatives and superlatives; Marine animals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17.05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8.3.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бақылау жұмысы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шы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Future tenses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17.05/24.05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9.1. Predictions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will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and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going to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; Dances, kinds of music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28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24.05/31.05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9.2. Future arrangements and intentions; Compound words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29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31.05/07.06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9.3. </w:t>
            </w:r>
            <w:r>
              <w:rPr>
                <w:rFonts w:ascii="Times New Roman" w:hAnsi="Times New Roman"/>
                <w:i w:val="1"/>
                <w:iCs w:val="1"/>
                <w:spacing w:val="2"/>
                <w:sz w:val="24"/>
                <w:szCs w:val="24"/>
                <w:rtl w:val="0"/>
                <w:lang w:val="en-US"/>
              </w:rPr>
              <w:t xml:space="preserve">will 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>for decisions; time clauses; Concert words, adjectives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30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2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07.06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9.4.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бақылау жұмысы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10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шы бөлім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 Prepositions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14.06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10.1. Prepositions of time and place; Art, painting words, adjectives(opposites), architecture words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21.06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10.2. Relative clauses; Hair and clothes, describing a house, British and American words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2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28.06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Тақырып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10.3.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бақылау жұмысы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Аралық бақылау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№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Барлығы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бойынша барлығы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100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</w:pPr>
    </w:p>
    <w:sectPr>
      <w:headerReference w:type="default" r:id="rId6"/>
      <w:pgSz w:w="11900" w:h="16840" w:orient="portrait"/>
      <w:pgMar w:top="567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